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321</w:t>
      </w:r>
    </w:p>
    <w:p>
      <w:r>
        <w:t>Bundesgericht (BGE), 1975-12-05, DE</w:t>
      </w:r>
    </w:p>
    <w:p>
      <w:r>
        <w:rPr>
          <w:b/>
        </w:rPr>
        <w:t xml:space="preserve">Quelle: </w:t>
      </w:r>
      <w:r>
        <w:t>https://mcp.opencaselaw.ch/entscheid/bge_101 IV 321</w:t>
      </w:r>
    </w:p>
    <w:p>
      <w:r>
        <w:t>FR: ATF 101 IV 321</w:t>
      </w:r>
    </w:p>
    <w:p>
      <w:r>
        <w:t>IT: DTF 101 IV 321</w:t>
      </w:r>
    </w:p>
    <w:p>
      <w:pPr>
        <w:pStyle w:val="Heading2"/>
      </w:pPr>
      <w:r>
        <w:t>Regeste</w:t>
      </w:r>
    </w:p>
    <w:p>
      <w:r>
        <w:t>Regeste Art. 39 Abs. 1 SVG. Eine beabsichtigte Richtungsänderung ist möglichst frühzeitig bekanntzugeben, doch ist jede Irreführung zu vermeiden.</w:t>
      </w:r>
    </w:p>
    <w:p>
      <w:pPr>
        <w:pStyle w:val="Heading2"/>
      </w:pPr>
      <w:r>
        <w:t>Erwägungen</w:t>
      </w:r>
    </w:p>
    <w:p>
      <w:r>
        <w:rPr>
          <w:b/>
        </w:rPr>
        <w:t>E. 1</w:t>
      </w:r>
    </w:p>
    <w:p>
      <w:r>
        <w:t>Nach Art. 39 Abs. 1 SVG hat der Fahrzeugführer jede Richtungsänderung rechtzeitig bekanntzugeben, damit die übrigen Verkehrsteilnehmer ihr eigenes Verhalten auf seine beabsichtigte Fahrt einrichten können. Es steht fest, dass Frau S. von der Schwarzenburgstrasse nach rechts in die Weissensteinstrasse abbiegen wollte. Sie war daher berechtigt und verpflichtet, ihre Absicht durch Betätigung des rechten Blinkers anzuzeigen. Umstritten ist, ob dies rechtzeitig geschah.</w:t>
      </w:r>
    </w:p>
    <w:p>
      <w:r>
        <w:rPr>
          <w:b/>
        </w:rPr>
        <w:t>E. 2</w:t>
      </w:r>
    </w:p>
    <w:p>
      <w:r>
        <w:t>Die zeitliche und örtliche Distanz für die richtige Einschaltung des Blinkers ergibt sich in Masseinheiten weder aus einer Rechtsnorm, noch lässt sie sich für alle Fälle einheitlich festsetzen. Je nach der Verkehrssituation wird die Antwort verschieden ausfallen. Oberstes Gebot ist einerseits, den andern Strassenbenützern eine beabsichtigte Richtungsänderung möglichst frühzeitig bekanntzugeben und anderseits jede Irreführung zu vermeiden. Daraus ergeben sich folgende Grundsätze: a) Wer erst unmittelbar vor oder gar zu Beginn eines Abbiegemanövers blinkt, hat nicht rechtzeitig gehandelt. Er verletzt seine Pflichten kaum weniger als derjenige, der ohne Zeichen abbiegt. b) Je schneller der Verkehr, umso früher ist eine Richtungsänderung anzuzeigen. Je weniger eine Irreführung durch verfrühte Anzeige zu befürchten ist, umso eher kann der Blinker BGE 101 IV 321 S. 323 eingeschaltet werden. So wird auf der Autobahn vor dem Wechsel aus der Fahrspur in die Überholspur oder vor der Benützung einer Ausfahrt in der Regel schon einige 100 m vorher zu blinken sein. Wer dagegen als langsamer Fahrer auf einer Innerortsstrasse mit vielen Kreuzungen schon etwa 100 m vor dem beabsichtigten Abbiegen blinkt, schafft Unsicherheit und Verwirrung; c) Einen klaren Verstoss gegen Art. 39 Abs. 1 SVG begeht, wer vor einer Verzweigung durch Blinken ein Abbiegen ankündet, obwohl er geradeaus fahren will. Dabei macht es nur für die Schwere seines Verschuldens, aber nicht grundsätzlich einen Unterschied, ob er den Blinker nach einem früheren Richtungswechsel nicht zurückgestellt (oder das Versagen der Automatik nicht bemerkt) hat, oder ob er den Blinker absichtlich betätigt, weil er zwar nicht bei dieser Einmündung, aber irgendwann später abbiegen will.</w:t>
      </w:r>
    </w:p>
    <w:p>
      <w:r>
        <w:rPr>
          <w:b/>
        </w:rPr>
        <w:t>E. 3</w:t>
      </w:r>
    </w:p>
    <w:p>
      <w:r>
        <w:t>Frau S. hat Art. 39 Abs. 1 SVG eindeutig verletzt. Was sie gegen ihre Schuldigerklärung vorbringt, ist unbehelflich. Gewiss begann jenseits der Einmündung der Lentulusstrasse die Einspurstrecke für die Kreuzung mit der Weissensteinstrasse. Da Frau S. aber bereits hart rechts fuhr, gelangte sie in Geradeausfahrt ohne weiteres auf die richtige Einspurbahn. Sie musste keinen Spurwechsel vornehmen und hatte daher auch keinen Grund, einen solchen im voraus anzuzeigen. Ebensowenig entlastet sie der Umstand, dass die Schwarzenburgstrasse gegenüber der Lentulusstrasse vortrittsberechtigt ist. Sie musste trotzdem alles unterlassen, was von dort kommende Strassenbenützer irreführen konnte. Ob ihre hohe Geschwindigkeit den Volvo-Fahrer hätte stutzig machen müssen, ist in anderem Zusammenhang zu prüfen. Für ihr eigenes Verhalten kann Frau S. daraus nichts ableiten. Im Gegenteil wurde die von ihr geschaffene Unfallgefahr noch erhöht durch den Umstand, dass sie mit nahezu der zulässigen Höchstgeschwindigkeit über die Lentulusstrasse fuhr. Frau S. hat die Verkehrsregeln nicht in leichter Form verletzt. Nichts, insbesondere auch keine nachfolgenden Fahrzeuge oder ein bevorstehender Spurwechsel jenseits der Kreuzung, konnte eine verfrühte Blinkanzeige rechtfertigen. Dazu kommt, dass sie den aus der Lentulusstrasse heranrollenden BGE 101 IV 321 S. 324 Volvo schon auf einige Distanz sehen konnte. Sie hätte aus Rücksicht auf dessen Führer mit dem Einschalten des Blinkers warten oder ein bereits eingeschaltetes Blinksignal wieder abstellen müssen ( BGE 92 IV 30 ). Dass andere Fahrer anlässlich des erstinstanzlichen Augenscheins teilweise ebenfalls schon so frühzeitig blinkten, hilft der Beschwerdeführerin nicht. Entweder haben auch diese sich verkehrswidrig verhalten oder sie befanden sich in anderer Situation. Der Gerichtspräsident stellt nämlich nicht fest, ob diese Fahrer eventuell sich in Strassenmitte fahrend der Lentulusstrasse näherten und daher ein Einspuren anzeigen durften, ob sie auf nachfolgende Fahrzeuge Rücksicht zu nehmen hatten und insbesondere, ob nicht in jenem Zeitraum die übersichtliche Einmündung der Lentulusstrasse frei und somit eine Irreführung ausgeschlossen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